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образования»,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Организация добровольческой (волонтерской) деятельности и взаимодействие с социально ориентированными НКО</w:t>
            </w:r>
          </w:p>
          <w:p>
            <w:pPr>
              <w:jc w:val="center"/>
              <w:spacing w:after="0" w:line="240" w:lineRule="auto"/>
              <w:rPr>
                <w:sz w:val="32"/>
                <w:szCs w:val="32"/>
              </w:rPr>
            </w:pPr>
            <w:r>
              <w:rPr>
                <w:rFonts w:ascii="Times New Roman" w:hAnsi="Times New Roman" w:cs="Times New Roman"/>
                <w:color w:val="#000000"/>
                <w:sz w:val="32"/>
                <w:szCs w:val="32"/>
              </w:rPr>
              <w:t> ФТД.04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885.86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образования»;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«Организация добровольческой (волонтерской) деятельности и взаимодействие с социально ориентированными НКО»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заочная форма обучения в соответствии с требованиями законодательства Российской Федерации в сфере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ФТД.04 «Организация добровольческой (волонтерской) деятельности и взаимодействие с социально ориентированными НКО».</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«Организация добровольческой (волонтерской) деятельности и взаимодействие с социально ориентированными НКО»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социально-психологические процессы развития группы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эффективность использования стратегии сотрудничества для достижения поставленной цели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понимать особенности поведения выделенных групп людей, с которыми работает/взаимодействует, учитывать их в своей деятельности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предвидеть результаты (последствия) личных действий и планировать последовательность шагов для достижения заданного результата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навыками эффективного взаимодействия с другими членами команды, в т.ч. при участии в обмене информацией, знаниями и опытом, и презентации результатов работы команды</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ФТД.04 «Организация добровольческой (волонтерской) деятельности и взаимодействие с социально ориентированными НКО»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самоорганизации и саморазвития студента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w:t>
            </w:r>
          </w:p>
          <w:p>
            <w:pPr>
              <w:jc w:val="center"/>
              <w:spacing w:after="0" w:line="240" w:lineRule="auto"/>
              <w:rPr>
                <w:sz w:val="22"/>
                <w:szCs w:val="22"/>
              </w:rPr>
            </w:pPr>
            <w:r>
              <w:rPr>
                <w:rFonts w:ascii="Times New Roman" w:hAnsi="Times New Roman" w:cs="Times New Roman"/>
                <w:color w:val="#000000"/>
                <w:sz w:val="22"/>
                <w:szCs w:val="22"/>
              </w:rPr>
              <w:t> Социальная психология</w:t>
            </w:r>
          </w:p>
          <w:p>
            <w:pPr>
              <w:jc w:val="center"/>
              <w:spacing w:after="0" w:line="240" w:lineRule="auto"/>
              <w:rPr>
                <w:sz w:val="22"/>
                <w:szCs w:val="22"/>
              </w:rPr>
            </w:pPr>
            <w:r>
              <w:rPr>
                <w:rFonts w:ascii="Times New Roman" w:hAnsi="Times New Roman" w:cs="Times New Roman"/>
                <w:color w:val="#000000"/>
                <w:sz w:val="22"/>
                <w:szCs w:val="22"/>
              </w:rPr>
              <w:t> Этика профессиональной деятельности педагога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1 зачетных единиц – 36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Волонтёрство как ресурс личностного роста и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Многообразие форм добровольческой</w:t>
            </w:r>
          </w:p>
          <w:p>
            <w:pPr>
              <w:jc w:val="left"/>
              <w:spacing w:after="0" w:line="240" w:lineRule="auto"/>
              <w:rPr>
                <w:sz w:val="24"/>
                <w:szCs w:val="24"/>
              </w:rPr>
            </w:pPr>
            <w:r>
              <w:rPr>
                <w:rFonts w:ascii="Times New Roman" w:hAnsi="Times New Roman" w:cs="Times New Roman"/>
                <w:color w:val="#000000"/>
                <w:sz w:val="24"/>
                <w:szCs w:val="24"/>
              </w:rPr>
              <w:t> (волонтерской)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работы с волонтерами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Взаимодействие с социально ориентированными НКО, инициативными группами, органами власти и иными</w:t>
            </w:r>
          </w:p>
          <w:p>
            <w:pPr>
              <w:jc w:val="left"/>
              <w:spacing w:after="0" w:line="240" w:lineRule="auto"/>
              <w:rPr>
                <w:sz w:val="24"/>
                <w:szCs w:val="24"/>
              </w:rPr>
            </w:pPr>
            <w:r>
              <w:rPr>
                <w:rFonts w:ascii="Times New Roman" w:hAnsi="Times New Roman" w:cs="Times New Roman"/>
                <w:color w:val="#000000"/>
                <w:sz w:val="24"/>
                <w:szCs w:val="24"/>
              </w:rPr>
              <w:t> организациями.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Волонтёрство как ресурс личностного роста и общественного</w:t>
            </w:r>
          </w:p>
          <w:p>
            <w:pPr>
              <w:jc w:val="left"/>
              <w:spacing w:after="0" w:line="240" w:lineRule="auto"/>
              <w:rPr>
                <w:sz w:val="24"/>
                <w:szCs w:val="24"/>
              </w:rPr>
            </w:pPr>
            <w:r>
              <w:rPr>
                <w:rFonts w:ascii="Times New Roman" w:hAnsi="Times New Roman" w:cs="Times New Roman"/>
                <w:color w:val="#000000"/>
                <w:sz w:val="24"/>
                <w:szCs w:val="24"/>
              </w:rPr>
              <w:t>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8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Многообразие форм добровольческой (волонтерской)</w:t>
            </w:r>
          </w:p>
          <w:p>
            <w:pPr>
              <w:jc w:val="left"/>
              <w:spacing w:after="0" w:line="240" w:lineRule="auto"/>
              <w:rPr>
                <w:sz w:val="24"/>
                <w:szCs w:val="24"/>
              </w:rPr>
            </w:pPr>
            <w:r>
              <w:rPr>
                <w:rFonts w:ascii="Times New Roman" w:hAnsi="Times New Roman" w:cs="Times New Roman"/>
                <w:color w:val="#000000"/>
                <w:sz w:val="24"/>
                <w:szCs w:val="24"/>
              </w:rPr>
              <w:t>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работы с волонтерами.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Взаимодействие с социально ориентированными НКО, инициативными группами, органами власти и иными организациями.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13378.9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0.7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Волонтёрство как ресурс личностного роста и общественного развития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добровольчества (волонтерства), добровольческой (волонтерской) организации, организатора добровольческой (волонтерской) деятельности. Взаимосвязь добровольчества(волонтерства) с существенными и позитивными изменениями в личности человека. Государственная политика в области развития добровольчества (волонтерства). Возможности добровольчества (волонтерства) в решении вопросов местного значения, социально-экономическом развитии регионов и достижении целей национального развития.</w:t>
            </w:r>
          </w:p>
        </w:tc>
      </w:tr>
      <w:tr>
        <w:trPr>
          <w:trHeight w:hRule="exact" w:val="585.059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Многообразие форм добровольческой</w:t>
            </w:r>
          </w:p>
          <w:p>
            <w:pPr>
              <w:jc w:val="center"/>
              <w:spacing w:after="0" w:line="240" w:lineRule="auto"/>
              <w:rPr>
                <w:sz w:val="24"/>
                <w:szCs w:val="24"/>
              </w:rPr>
            </w:pPr>
            <w:r>
              <w:rPr>
                <w:rFonts w:ascii="Times New Roman" w:hAnsi="Times New Roman" w:cs="Times New Roman"/>
                <w:b/>
                <w:color w:val="#000000"/>
                <w:sz w:val="24"/>
                <w:szCs w:val="24"/>
              </w:rPr>
              <w:t> (волонтерской) деятельности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и задачи добровольческой (волонтерской) деятельности. Формы и виды добровольческой (волонтерской) деятельности: разнообразие и взаимное влияние. Историческое наследие и направления добровольчества. Развитие волонтерства в различных сферах жизнедеятельности. Циклы развития волонтерской деятельности. Волонтерский менеджмент. Программы саморазвития личности в аспекте добровольчества. Социальное проектирование. Благотворительность.</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Организация работы с волонтерами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работы с волонтерами: рекрутинг, повышение узнаваемости проектов, работа со СМИ, обучение, оценка эффективности волонтерской деятельности. 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Мотивация волонтеров. Проблема и профилактика эмоционального выгорания. Сравнительный анализ мотивации стихийных волонтеров, эпизодических волонтеров и волонтеров долгосрочных проектов. Диагностика мотивации волонтеров. Показано, что волонтерская деятельность выступает как условие и фактор формирования  социально значимых личностных свойств человека. Определены основные потребности молодежи, реализуемые в рамках волонтерской деятельности: потребность человека быть нужным другому человеку, потребность в общении, потребность в творчестве, потребность в саморазвитии и построении карьеры, потребность в приобретении социального опыта, потребность в подтверждении самостоятельности и взрослости.</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Взаимодействие с социально ориентированными НКО, инициативными группами, органами власти и иными</w:t>
            </w:r>
          </w:p>
          <w:p>
            <w:pPr>
              <w:jc w:val="center"/>
              <w:spacing w:after="0" w:line="240" w:lineRule="auto"/>
              <w:rPr>
                <w:sz w:val="24"/>
                <w:szCs w:val="24"/>
              </w:rPr>
            </w:pPr>
            <w:r>
              <w:rPr>
                <w:rFonts w:ascii="Times New Roman" w:hAnsi="Times New Roman" w:cs="Times New Roman"/>
                <w:b/>
                <w:color w:val="#000000"/>
                <w:sz w:val="24"/>
                <w:szCs w:val="24"/>
              </w:rPr>
              <w:t> организациями.</w:t>
            </w:r>
          </w:p>
        </w:tc>
      </w:tr>
      <w:tr>
        <w:trPr>
          <w:trHeight w:hRule="exact" w:val="1782.37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Инновации в добровольчестве (волонтерстве) и деятельности социально ориентированных НКО. Формы, механизмы и порядки взаимодействия с федеральными органами власти, органами власти субъектов Российской Федерации, органами местного самоуправления, подведомственными им государственными и муниципальными учреждениями, иными организациями (по направлениям волонтерской деятельности). Взаимодействия с социально ориентированными НКО, органами власти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подведомственными им организациями: причины провалов и лучшие практики. Управление рисками в работе с волонтерами и волонтерскими организациями.</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06"/>
        </w:trPr>
        <w:tc>
          <w:tcPr>
            <w:tcW w:w="9640" w:type="dxa"/>
          </w:tcP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Волонтёрство как ресурс личностного роста и общественного</w:t>
            </w:r>
          </w:p>
          <w:p>
            <w:pPr>
              <w:jc w:val="center"/>
              <w:spacing w:after="0" w:line="240" w:lineRule="auto"/>
              <w:rPr>
                <w:sz w:val="24"/>
                <w:szCs w:val="24"/>
              </w:rPr>
            </w:pPr>
            <w:r>
              <w:rPr>
                <w:rFonts w:ascii="Times New Roman" w:hAnsi="Times New Roman" w:cs="Times New Roman"/>
                <w:b/>
                <w:color w:val="#000000"/>
                <w:sz w:val="24"/>
                <w:szCs w:val="24"/>
              </w:rPr>
              <w:t> развития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ходе обучения студенты активизируют личностные ресурсы, способствующие саморазвитию и самореализации, повышению уровня толерантности и личностной креативности как адаптационного ресурса и условия эффективной волонтерской деятельности, рефлексии, повышению устойчивости к эмоциональному выгоранию и профессиональной деформации.</w:t>
            </w:r>
          </w:p>
        </w:tc>
      </w:tr>
      <w:tr>
        <w:trPr>
          <w:trHeight w:hRule="exact" w:val="14.7002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Многообразие форм добровольческой (волонтерской)</w:t>
            </w:r>
          </w:p>
          <w:p>
            <w:pPr>
              <w:jc w:val="center"/>
              <w:spacing w:after="0" w:line="240" w:lineRule="auto"/>
              <w:rPr>
                <w:sz w:val="24"/>
                <w:szCs w:val="24"/>
              </w:rPr>
            </w:pPr>
            <w:r>
              <w:rPr>
                <w:rFonts w:ascii="Times New Roman" w:hAnsi="Times New Roman" w:cs="Times New Roman"/>
                <w:b/>
                <w:color w:val="#000000"/>
                <w:sz w:val="24"/>
                <w:szCs w:val="24"/>
              </w:rPr>
              <w:t> деятельности.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типы и цели добровольчества (волонтерства): разнообразие и взаимное влияние. Механизмы и технологии добровольческой деятельности. Волонтерский менеджмент. Программы саморазвития личности в аспекте добровольчества.</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Организация работы с волонтерами.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Обучение позволит освоить современные психологические технологии диагностики потенциальных волонтеров, с целью профессионального отбора; повышения уровня коммуникативной компетентности, развития профессиональной наблюдательности, анализа различных аспектов синдрома эмоционального выгорания. Обучающиеся будут способны разрабатывать стратегию работы с волонтерскими группами и организациями на основе критического осмысления выбранных и созданных теорий, концепций, подходов и (или) технологий.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Взаимодействие с социально ориентированными НКО, инициативными группами, органами власти и иными организациями.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результате обучения обучающиеся получат представление о знания о способах построения конструктивного общения (взаимодействия) с представителями органами власти и различных социальных групп; приобретают способность демонстрировать коммуникационные умения в контексте социального партнерства.</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«Организация добровольческой (волонтерской) деятельности и взаимодействие с социально ориентированными НКО» / Котлярова Т.С..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9640" w:type="dxa"/>
          </w:tcP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волонтерством:</w:t>
            </w:r>
            <w:r>
              <w:rPr/>
              <w:t xml:space="preserve"> </w:t>
            </w:r>
            <w:r>
              <w:rPr>
                <w:rFonts w:ascii="Times New Roman" w:hAnsi="Times New Roman" w:cs="Times New Roman"/>
                <w:color w:val="#000000"/>
                <w:sz w:val="24"/>
                <w:szCs w:val="24"/>
              </w:rPr>
              <w:t>международный</w:t>
            </w:r>
            <w:r>
              <w:rPr/>
              <w:t xml:space="preserve"> </w:t>
            </w:r>
            <w:r>
              <w:rPr>
                <w:rFonts w:ascii="Times New Roman" w:hAnsi="Times New Roman" w:cs="Times New Roman"/>
                <w:color w:val="#000000"/>
                <w:sz w:val="24"/>
                <w:szCs w:val="24"/>
              </w:rPr>
              <w:t>опыт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локальные</w:t>
            </w:r>
            <w:r>
              <w:rPr/>
              <w:t xml:space="preserve"> </w:t>
            </w:r>
            <w:r>
              <w:rPr>
                <w:rFonts w:ascii="Times New Roman" w:hAnsi="Times New Roman" w:cs="Times New Roman"/>
                <w:color w:val="#000000"/>
                <w:sz w:val="24"/>
                <w:szCs w:val="24"/>
              </w:rPr>
              <w:t>практики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Певная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Зборовский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978-5-534-10984-9.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https://urait.ru/bcode/454782</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волонтерского</w:t>
            </w:r>
            <w:r>
              <w:rPr/>
              <w:t xml:space="preserve"> </w:t>
            </w:r>
            <w:r>
              <w:rPr>
                <w:rFonts w:ascii="Times New Roman" w:hAnsi="Times New Roman" w:cs="Times New Roman"/>
                <w:color w:val="#000000"/>
                <w:sz w:val="24"/>
                <w:szCs w:val="24"/>
              </w:rPr>
              <w:t>движения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Митрофаненко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http://www.iprbookshop.ru/63025.html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Социально-культурное</w:t>
            </w:r>
            <w:r>
              <w:rPr/>
              <w:t xml:space="preserve"> </w:t>
            </w:r>
            <w:r>
              <w:rPr>
                <w:rFonts w:ascii="Times New Roman" w:hAnsi="Times New Roman" w:cs="Times New Roman"/>
                <w:color w:val="#000000"/>
                <w:sz w:val="24"/>
                <w:szCs w:val="24"/>
              </w:rPr>
              <w:t>творчество</w:t>
            </w:r>
            <w:r>
              <w:rPr/>
              <w:t xml:space="preserve"> </w:t>
            </w:r>
            <w:r>
              <w:rPr>
                <w:rFonts w:ascii="Times New Roman" w:hAnsi="Times New Roman" w:cs="Times New Roman"/>
                <w:color w:val="#000000"/>
                <w:sz w:val="24"/>
                <w:szCs w:val="24"/>
              </w:rPr>
              <w:t>участников</w:t>
            </w:r>
            <w:r>
              <w:rPr/>
              <w:t xml:space="preserve"> </w:t>
            </w:r>
            <w:r>
              <w:rPr>
                <w:rFonts w:ascii="Times New Roman" w:hAnsi="Times New Roman" w:cs="Times New Roman"/>
                <w:color w:val="#000000"/>
                <w:sz w:val="24"/>
                <w:szCs w:val="24"/>
              </w:rPr>
              <w:t>молодежных</w:t>
            </w:r>
            <w:r>
              <w:rPr/>
              <w:t xml:space="preserve"> </w:t>
            </w:r>
            <w:r>
              <w:rPr>
                <w:rFonts w:ascii="Times New Roman" w:hAnsi="Times New Roman" w:cs="Times New Roman"/>
                <w:color w:val="#000000"/>
                <w:sz w:val="24"/>
                <w:szCs w:val="24"/>
              </w:rPr>
              <w:t>объединений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формировании</w:t>
            </w:r>
            <w:r>
              <w:rPr/>
              <w:t xml:space="preserve"> </w:t>
            </w:r>
            <w:r>
              <w:rPr>
                <w:rFonts w:ascii="Times New Roman" w:hAnsi="Times New Roman" w:cs="Times New Roman"/>
                <w:color w:val="#000000"/>
                <w:sz w:val="24"/>
                <w:szCs w:val="24"/>
              </w:rPr>
              <w:t>института</w:t>
            </w:r>
            <w:r>
              <w:rPr/>
              <w:t xml:space="preserve"> </w:t>
            </w:r>
            <w:r>
              <w:rPr>
                <w:rFonts w:ascii="Times New Roman" w:hAnsi="Times New Roman" w:cs="Times New Roman"/>
                <w:color w:val="#000000"/>
                <w:sz w:val="24"/>
                <w:szCs w:val="24"/>
              </w:rPr>
              <w:t>волонтерства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Васильковская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Пономарёв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Кемерово:</w:t>
            </w:r>
            <w:r>
              <w:rPr/>
              <w:t xml:space="preserve"> </w:t>
            </w:r>
            <w:r>
              <w:rPr>
                <w:rFonts w:ascii="Times New Roman" w:hAnsi="Times New Roman" w:cs="Times New Roman"/>
                <w:color w:val="#000000"/>
                <w:sz w:val="24"/>
                <w:szCs w:val="24"/>
              </w:rPr>
              <w:t>Кемеровский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978-5-8154-0361-1.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http://www.iprbookshop.ru/66366.html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Правовое</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волонтерской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Тимец</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978-5-00094-344-1.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http://www.iprbookshop.ru/68907.html</w:t>
            </w:r>
            <w:r>
              <w:rPr/>
              <w:t xml:space="preserve"> </w:t>
            </w:r>
          </w:p>
        </w:tc>
      </w:tr>
      <w:tr>
        <w:trPr>
          <w:trHeight w:hRule="exact" w:val="585.06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17.988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197.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338.8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296.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2024-2025_ФГОС3++2024_Бак-ЗФО-ППО (ПО)(24)_plx_Организация добровольческой (волонтерской) деятельности и взаимодействие с социально ориентированными НКО</dc:title>
  <dc:creator>FastReport.NET</dc:creator>
</cp:coreProperties>
</file>